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5876" w14:textId="77777777" w:rsidR="00292C61" w:rsidRDefault="00FC2382">
      <w:pPr>
        <w:pStyle w:val="BodyText"/>
        <w:ind w:left="116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5B3EEC" wp14:editId="3989B4A8">
            <wp:extent cx="6052343" cy="976312"/>
            <wp:effectExtent l="0" t="0" r="0" b="0"/>
            <wp:docPr id="1" name="image1.jpeg" descr="AAT logo with words fact she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343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C96D0" w14:textId="77777777" w:rsidR="00292C61" w:rsidRDefault="00292C61">
      <w:pPr>
        <w:pStyle w:val="BodyText"/>
        <w:ind w:left="0"/>
        <w:jc w:val="left"/>
        <w:rPr>
          <w:rFonts w:ascii="Times New Roman"/>
          <w:sz w:val="20"/>
        </w:rPr>
      </w:pPr>
    </w:p>
    <w:p w14:paraId="0EE26B6E" w14:textId="77777777" w:rsidR="00292C61" w:rsidRDefault="00292C61">
      <w:pPr>
        <w:pStyle w:val="BodyText"/>
        <w:ind w:left="0"/>
        <w:jc w:val="left"/>
        <w:rPr>
          <w:rFonts w:ascii="Times New Roman"/>
          <w:sz w:val="20"/>
        </w:rPr>
      </w:pPr>
    </w:p>
    <w:p w14:paraId="1F40017A" w14:textId="77777777" w:rsidR="00292C61" w:rsidRDefault="00292C61">
      <w:pPr>
        <w:pStyle w:val="BodyText"/>
        <w:ind w:left="0"/>
        <w:jc w:val="left"/>
        <w:rPr>
          <w:rFonts w:ascii="Times New Roman"/>
          <w:sz w:val="20"/>
        </w:rPr>
      </w:pPr>
    </w:p>
    <w:p w14:paraId="758566BB" w14:textId="77777777" w:rsidR="00292C61" w:rsidRDefault="00292C61">
      <w:pPr>
        <w:pStyle w:val="BodyText"/>
        <w:spacing w:before="1"/>
        <w:ind w:left="0"/>
        <w:jc w:val="left"/>
        <w:rPr>
          <w:rFonts w:ascii="Times New Roman"/>
          <w:sz w:val="27"/>
        </w:rPr>
      </w:pPr>
    </w:p>
    <w:p w14:paraId="19C303BB" w14:textId="77777777" w:rsidR="00292C61" w:rsidRDefault="00FC2382">
      <w:pPr>
        <w:pStyle w:val="Title"/>
        <w:spacing w:before="88"/>
      </w:pPr>
      <w:r>
        <w:rPr>
          <w:color w:val="2E5395"/>
        </w:rPr>
        <w:t>Workers’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Compensation</w:t>
      </w:r>
    </w:p>
    <w:p w14:paraId="6972D0B5" w14:textId="77777777" w:rsidR="00292C61" w:rsidRDefault="00FC2382">
      <w:pPr>
        <w:pStyle w:val="Title"/>
      </w:pPr>
      <w:r>
        <w:rPr>
          <w:color w:val="2E5395"/>
        </w:rPr>
        <w:t>Pilot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Program of Procedural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Changes</w:t>
      </w:r>
    </w:p>
    <w:p w14:paraId="74BD9D4C" w14:textId="77777777" w:rsidR="00292C61" w:rsidRDefault="00FC2382">
      <w:pPr>
        <w:spacing w:before="198"/>
        <w:ind w:left="1339" w:right="1319"/>
        <w:jc w:val="center"/>
        <w:rPr>
          <w:b/>
          <w:sz w:val="36"/>
        </w:rPr>
      </w:pPr>
      <w:r>
        <w:rPr>
          <w:b/>
          <w:color w:val="2E5395"/>
          <w:sz w:val="36"/>
        </w:rPr>
        <w:t>Canberra</w:t>
      </w:r>
      <w:r>
        <w:rPr>
          <w:b/>
          <w:color w:val="2E5395"/>
          <w:spacing w:val="-2"/>
          <w:sz w:val="36"/>
        </w:rPr>
        <w:t xml:space="preserve"> </w:t>
      </w:r>
      <w:r>
        <w:rPr>
          <w:b/>
          <w:color w:val="2E5395"/>
          <w:sz w:val="36"/>
        </w:rPr>
        <w:t>Registry</w:t>
      </w:r>
    </w:p>
    <w:p w14:paraId="29485BE1" w14:textId="77777777" w:rsidR="00292C61" w:rsidRDefault="00FC2382">
      <w:pPr>
        <w:pStyle w:val="BodyText"/>
        <w:spacing w:before="192"/>
        <w:ind w:right="374"/>
      </w:pPr>
      <w:r>
        <w:t>This fact sheet provides information about a pilot study to be conducted in the Tribunal’s</w:t>
      </w:r>
      <w:r>
        <w:rPr>
          <w:spacing w:val="1"/>
        </w:rPr>
        <w:t xml:space="preserve"> </w:t>
      </w:r>
      <w:r>
        <w:t>Canberra Registry. The pilot study will trial procedural changes in the Tribunal’s Workers’</w:t>
      </w:r>
      <w:r>
        <w:rPr>
          <w:spacing w:val="1"/>
        </w:rPr>
        <w:t xml:space="preserve"> </w:t>
      </w:r>
      <w:r>
        <w:t>Compensation</w:t>
      </w:r>
      <w:r>
        <w:rPr>
          <w:spacing w:val="-3"/>
        </w:rPr>
        <w:t xml:space="preserve"> </w:t>
      </w:r>
      <w:r>
        <w:t>jurisdiction in</w:t>
      </w:r>
      <w:r>
        <w:rPr>
          <w:spacing w:val="-1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represented.</w:t>
      </w:r>
    </w:p>
    <w:p w14:paraId="57F99689" w14:textId="175BD58C" w:rsidR="00292C61" w:rsidRDefault="00FC2382">
      <w:pPr>
        <w:pStyle w:val="Heading1"/>
        <w:spacing w:before="120"/>
        <w:jc w:val="both"/>
      </w:pPr>
      <w:r>
        <w:t>The process</w:t>
      </w:r>
      <w:r w:rsidR="0072662E">
        <w:t xml:space="preserve"> changes</w:t>
      </w:r>
    </w:p>
    <w:p w14:paraId="0587DC47" w14:textId="3150CE53" w:rsidR="0072662E" w:rsidRDefault="0072662E">
      <w:pPr>
        <w:pStyle w:val="BodyText"/>
        <w:spacing w:before="184" w:line="256" w:lineRule="auto"/>
        <w:ind w:right="375"/>
      </w:pPr>
      <w:r>
        <w:t>There will be two significant process changes.</w:t>
      </w:r>
    </w:p>
    <w:p w14:paraId="7E961696" w14:textId="39690CAD" w:rsidR="00AE60AD" w:rsidRDefault="0072662E">
      <w:pPr>
        <w:pStyle w:val="BodyText"/>
        <w:spacing w:before="184" w:line="256" w:lineRule="auto"/>
        <w:ind w:right="375"/>
      </w:pPr>
      <w:r>
        <w:t xml:space="preserve">First, each application will be assessed as soon as it comes in and, if appropriate, directions will be made to </w:t>
      </w:r>
      <w:r w:rsidR="00AE60AD">
        <w:t>ensure that the matter is well progressed by the first conference. In particular, early steps may need to be taken to:</w:t>
      </w:r>
    </w:p>
    <w:p w14:paraId="140F5282" w14:textId="266F60A7" w:rsidR="00AE60AD" w:rsidRDefault="00AE60AD" w:rsidP="00AE60AD">
      <w:pPr>
        <w:pStyle w:val="BodyText"/>
        <w:numPr>
          <w:ilvl w:val="0"/>
          <w:numId w:val="2"/>
        </w:numPr>
        <w:spacing w:before="184" w:line="256" w:lineRule="auto"/>
        <w:ind w:right="375"/>
      </w:pPr>
      <w:r>
        <w:t xml:space="preserve">obtain the names of relevant treating medical practitioners, </w:t>
      </w:r>
    </w:p>
    <w:p w14:paraId="04080146" w14:textId="2753B63C" w:rsidR="0072662E" w:rsidRDefault="00AE60AD" w:rsidP="00AE60AD">
      <w:pPr>
        <w:pStyle w:val="BodyText"/>
        <w:numPr>
          <w:ilvl w:val="0"/>
          <w:numId w:val="2"/>
        </w:numPr>
        <w:spacing w:before="184" w:line="256" w:lineRule="auto"/>
        <w:ind w:right="375"/>
      </w:pPr>
      <w:r>
        <w:t xml:space="preserve">obtain relevant material from the applicant’s </w:t>
      </w:r>
      <w:proofErr w:type="gramStart"/>
      <w:r>
        <w:t>employer;</w:t>
      </w:r>
      <w:proofErr w:type="gramEnd"/>
    </w:p>
    <w:p w14:paraId="7855C551" w14:textId="5122B740" w:rsidR="00AE60AD" w:rsidRDefault="00AE60AD" w:rsidP="00AE60AD">
      <w:pPr>
        <w:pStyle w:val="BodyText"/>
        <w:numPr>
          <w:ilvl w:val="0"/>
          <w:numId w:val="2"/>
        </w:numPr>
        <w:spacing w:before="184" w:line="256" w:lineRule="auto"/>
        <w:ind w:right="375"/>
      </w:pPr>
      <w:r>
        <w:t xml:space="preserve">request the issue of </w:t>
      </w:r>
      <w:proofErr w:type="gramStart"/>
      <w:r>
        <w:t>summonses;</w:t>
      </w:r>
      <w:proofErr w:type="gramEnd"/>
    </w:p>
    <w:p w14:paraId="3BDCEA4B" w14:textId="7EFB0C2C" w:rsidR="00AE60AD" w:rsidRDefault="00AE60AD" w:rsidP="00AE60AD">
      <w:pPr>
        <w:pStyle w:val="BodyText"/>
        <w:numPr>
          <w:ilvl w:val="0"/>
          <w:numId w:val="2"/>
        </w:numPr>
        <w:spacing w:before="184" w:line="256" w:lineRule="auto"/>
        <w:ind w:right="375"/>
      </w:pPr>
      <w:r>
        <w:t>make appointments with relevant independent medical examiners.</w:t>
      </w:r>
    </w:p>
    <w:p w14:paraId="1D10F0C5" w14:textId="4294F94D" w:rsidR="00292C61" w:rsidRDefault="00AE60AD">
      <w:pPr>
        <w:pStyle w:val="BodyText"/>
        <w:spacing w:before="184" w:line="256" w:lineRule="auto"/>
        <w:ind w:right="375"/>
      </w:pPr>
      <w:r>
        <w:t xml:space="preserve">Second, </w:t>
      </w:r>
      <w:r w:rsidR="00FC2382">
        <w:t>the Tribunal will direct the parties to lodge</w:t>
      </w:r>
      <w:r w:rsidR="00FC2382">
        <w:rPr>
          <w:spacing w:val="1"/>
        </w:rPr>
        <w:t xml:space="preserve"> </w:t>
      </w:r>
      <w:r w:rsidR="00FC2382">
        <w:t>with the Tribunal and provide to each other a detailed questionnaire setting out each party’s</w:t>
      </w:r>
      <w:r w:rsidR="00FC2382">
        <w:rPr>
          <w:spacing w:val="1"/>
        </w:rPr>
        <w:t xml:space="preserve"> </w:t>
      </w:r>
      <w:r w:rsidR="00FC2382">
        <w:t>understanding</w:t>
      </w:r>
      <w:r w:rsidR="00FC2382">
        <w:rPr>
          <w:spacing w:val="-1"/>
        </w:rPr>
        <w:t xml:space="preserve"> </w:t>
      </w:r>
      <w:r w:rsidR="00FC2382">
        <w:t>of</w:t>
      </w:r>
      <w:r w:rsidR="00FC2382">
        <w:rPr>
          <w:spacing w:val="-1"/>
        </w:rPr>
        <w:t xml:space="preserve"> </w:t>
      </w:r>
      <w:r w:rsidR="00FC2382">
        <w:t>the</w:t>
      </w:r>
      <w:r w:rsidR="00FC2382">
        <w:rPr>
          <w:spacing w:val="-2"/>
        </w:rPr>
        <w:t xml:space="preserve"> </w:t>
      </w:r>
      <w:r w:rsidR="00FC2382">
        <w:t>facts</w:t>
      </w:r>
      <w:r w:rsidR="00FC2382">
        <w:rPr>
          <w:spacing w:val="1"/>
        </w:rPr>
        <w:t xml:space="preserve"> </w:t>
      </w:r>
      <w:r w:rsidR="00FC2382">
        <w:t>and</w:t>
      </w:r>
      <w:r w:rsidR="00FC2382">
        <w:rPr>
          <w:spacing w:val="-2"/>
        </w:rPr>
        <w:t xml:space="preserve"> </w:t>
      </w:r>
      <w:r w:rsidR="00FC2382">
        <w:t>the legal</w:t>
      </w:r>
      <w:r w:rsidR="00FC2382">
        <w:rPr>
          <w:spacing w:val="-1"/>
        </w:rPr>
        <w:t xml:space="preserve"> </w:t>
      </w:r>
      <w:r w:rsidR="00FC2382">
        <w:t>issues</w:t>
      </w:r>
      <w:r w:rsidR="00FC2382">
        <w:rPr>
          <w:spacing w:val="-2"/>
        </w:rPr>
        <w:t xml:space="preserve"> </w:t>
      </w:r>
      <w:r w:rsidR="00FC2382">
        <w:t>in</w:t>
      </w:r>
      <w:r w:rsidR="00FC2382">
        <w:rPr>
          <w:spacing w:val="-3"/>
        </w:rPr>
        <w:t xml:space="preserve"> </w:t>
      </w:r>
      <w:r w:rsidR="00FC2382">
        <w:t>dispute.</w:t>
      </w:r>
    </w:p>
    <w:p w14:paraId="2DF177BB" w14:textId="77777777" w:rsidR="00292C61" w:rsidRDefault="00FC2382">
      <w:pPr>
        <w:pStyle w:val="BodyText"/>
        <w:spacing w:before="167" w:line="256" w:lineRule="auto"/>
        <w:ind w:right="377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envisaged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requiring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lodgement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questionnaire</w:t>
      </w:r>
      <w:r>
        <w:rPr>
          <w:spacing w:val="-4"/>
        </w:rPr>
        <w:t xml:space="preserve"> </w:t>
      </w:r>
      <w:r>
        <w:t>will 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sent</w:t>
      </w:r>
      <w:r>
        <w:rPr>
          <w:spacing w:val="-5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parties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time</w:t>
      </w:r>
      <w:r>
        <w:rPr>
          <w:spacing w:val="1"/>
        </w:rPr>
        <w:t xml:space="preserve"> </w:t>
      </w:r>
      <w:r>
        <w:t>the Tribunal</w:t>
      </w:r>
      <w:r>
        <w:rPr>
          <w:spacing w:val="1"/>
        </w:rPr>
        <w:t xml:space="preserve"> </w:t>
      </w:r>
      <w:r>
        <w:t>sends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notice of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listing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conference.</w:t>
      </w:r>
    </w:p>
    <w:p w14:paraId="238B0352" w14:textId="77777777" w:rsidR="00292C61" w:rsidRDefault="00FC2382">
      <w:pPr>
        <w:pStyle w:val="BodyText"/>
        <w:spacing w:before="167" w:line="259" w:lineRule="auto"/>
        <w:ind w:right="374"/>
      </w:pPr>
      <w:r>
        <w:t>The parties will be re</w:t>
      </w:r>
      <w:r>
        <w:t>quired to submit the completed questionnaire 7 days prior to the first</w:t>
      </w:r>
      <w:r>
        <w:rPr>
          <w:spacing w:val="1"/>
        </w:rPr>
        <w:t xml:space="preserve"> </w:t>
      </w:r>
      <w:r>
        <w:t>conference.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practitioners with the material in the T-Documents and will require detailed instructions to be</w:t>
      </w:r>
      <w:r>
        <w:rPr>
          <w:spacing w:val="1"/>
        </w:rPr>
        <w:t xml:space="preserve"> </w:t>
      </w:r>
      <w:r>
        <w:t>obtain</w:t>
      </w:r>
      <w:r>
        <w:t>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clients.</w:t>
      </w:r>
    </w:p>
    <w:p w14:paraId="270B3815" w14:textId="77777777" w:rsidR="00292C61" w:rsidRDefault="00FC2382">
      <w:pPr>
        <w:pStyle w:val="Heading1"/>
        <w:spacing w:before="155"/>
        <w:jc w:val="both"/>
      </w:pP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Questionnaire</w:t>
      </w:r>
    </w:p>
    <w:p w14:paraId="7473488E" w14:textId="77777777" w:rsidR="00292C61" w:rsidRDefault="00FC2382">
      <w:pPr>
        <w:pStyle w:val="BodyText"/>
        <w:spacing w:before="184" w:line="256" w:lineRule="auto"/>
        <w:ind w:right="373"/>
      </w:pPr>
      <w:r>
        <w:t>The questionnaire requires applicants and respondents to accurately frame the nature of the</w:t>
      </w:r>
      <w:r>
        <w:rPr>
          <w:spacing w:val="1"/>
        </w:rPr>
        <w:t xml:space="preserve"> </w:t>
      </w:r>
      <w:r>
        <w:t>dispute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 workers’ compensation matter.</w:t>
      </w:r>
    </w:p>
    <w:p w14:paraId="05B36201" w14:textId="77777777" w:rsidR="00292C61" w:rsidRDefault="00FC2382">
      <w:pPr>
        <w:pStyle w:val="BodyText"/>
        <w:spacing w:before="162"/>
      </w:pPr>
      <w:r>
        <w:t>The</w:t>
      </w:r>
      <w:r>
        <w:rPr>
          <w:spacing w:val="-1"/>
        </w:rPr>
        <w:t xml:space="preserve"> </w:t>
      </w:r>
      <w:r>
        <w:t>intention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to:</w:t>
      </w:r>
    </w:p>
    <w:p w14:paraId="4DC381ED" w14:textId="77777777" w:rsidR="00292C61" w:rsidRDefault="00FC2382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183" w:line="237" w:lineRule="auto"/>
        <w:ind w:right="375"/>
      </w:pPr>
      <w:r>
        <w:t>fewer</w:t>
      </w:r>
      <w:r>
        <w:rPr>
          <w:spacing w:val="12"/>
        </w:rPr>
        <w:t xml:space="preserve"> </w:t>
      </w:r>
      <w:r>
        <w:t>unnecessary</w:t>
      </w:r>
      <w:r>
        <w:rPr>
          <w:spacing w:val="13"/>
        </w:rPr>
        <w:t xml:space="preserve"> </w:t>
      </w:r>
      <w:r>
        <w:t>processes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medico-legal</w:t>
      </w:r>
      <w:r>
        <w:rPr>
          <w:spacing w:val="12"/>
        </w:rPr>
        <w:t xml:space="preserve"> </w:t>
      </w:r>
      <w:r>
        <w:t>appointments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summonses</w:t>
      </w:r>
      <w:r>
        <w:rPr>
          <w:spacing w:val="-58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gramStart"/>
      <w:r>
        <w:t>issued;</w:t>
      </w:r>
      <w:proofErr w:type="gramEnd"/>
    </w:p>
    <w:p w14:paraId="605C3876" w14:textId="77777777" w:rsidR="00292C61" w:rsidRDefault="00FC2382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ind w:left="1113" w:hanging="356"/>
      </w:pPr>
      <w:r>
        <w:t>more</w:t>
      </w:r>
      <w:r>
        <w:rPr>
          <w:spacing w:val="-3"/>
        </w:rPr>
        <w:t xml:space="preserve"> </w:t>
      </w:r>
      <w:r>
        <w:t>focussed</w:t>
      </w:r>
      <w:r>
        <w:rPr>
          <w:spacing w:val="-3"/>
        </w:rPr>
        <w:t xml:space="preserve"> </w:t>
      </w:r>
      <w:r>
        <w:t>and bespoke</w:t>
      </w:r>
      <w:r>
        <w:rPr>
          <w:spacing w:val="-1"/>
        </w:rPr>
        <w:t xml:space="preserve"> </w:t>
      </w:r>
      <w:r>
        <w:t>procedural directions</w:t>
      </w:r>
      <w:r>
        <w:rPr>
          <w:spacing w:val="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3"/>
        </w:rPr>
        <w:t xml:space="preserve"> </w:t>
      </w:r>
      <w:proofErr w:type="gramStart"/>
      <w:r>
        <w:t>conference;</w:t>
      </w:r>
      <w:proofErr w:type="gramEnd"/>
    </w:p>
    <w:p w14:paraId="4CEEFF20" w14:textId="77777777" w:rsidR="00292C61" w:rsidRDefault="00FC2382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line="237" w:lineRule="auto"/>
        <w:ind w:right="375"/>
      </w:pPr>
      <w:r>
        <w:t>faster</w:t>
      </w:r>
      <w:r>
        <w:rPr>
          <w:spacing w:val="23"/>
        </w:rPr>
        <w:t xml:space="preserve"> </w:t>
      </w:r>
      <w:r>
        <w:t>resolution</w:t>
      </w:r>
      <w:r>
        <w:rPr>
          <w:spacing w:val="22"/>
        </w:rPr>
        <w:t xml:space="preserve"> </w:t>
      </w:r>
      <w:r>
        <w:t>times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providing</w:t>
      </w:r>
      <w:r>
        <w:rPr>
          <w:spacing w:val="22"/>
        </w:rPr>
        <w:t xml:space="preserve"> </w:t>
      </w:r>
      <w:r>
        <w:t>Conference</w:t>
      </w:r>
      <w:r>
        <w:rPr>
          <w:spacing w:val="20"/>
        </w:rPr>
        <w:t xml:space="preserve"> </w:t>
      </w:r>
      <w:r>
        <w:t>Registrars</w:t>
      </w:r>
      <w:r>
        <w:rPr>
          <w:spacing w:val="2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Members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early</w:t>
      </w:r>
      <w:r>
        <w:rPr>
          <w:spacing w:val="-58"/>
        </w:rPr>
        <w:t xml:space="preserve"> </w:t>
      </w:r>
      <w:r>
        <w:lastRenderedPageBreak/>
        <w:t>clarification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issues</w:t>
      </w:r>
      <w:r>
        <w:rPr>
          <w:spacing w:val="-2"/>
        </w:rPr>
        <w:t xml:space="preserve"> </w:t>
      </w:r>
      <w:r>
        <w:t>in dispute;</w:t>
      </w:r>
      <w:r>
        <w:rPr>
          <w:spacing w:val="2"/>
        </w:rPr>
        <w:t xml:space="preserve"> </w:t>
      </w:r>
      <w:r>
        <w:t>and</w:t>
      </w:r>
    </w:p>
    <w:p w14:paraId="07BE5CEC" w14:textId="77777777" w:rsidR="00292C61" w:rsidRDefault="00FC2382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97" w:line="237" w:lineRule="auto"/>
        <w:ind w:right="375"/>
      </w:pPr>
      <w:r>
        <w:t>early</w:t>
      </w:r>
      <w:r>
        <w:rPr>
          <w:spacing w:val="-11"/>
        </w:rPr>
        <w:t xml:space="preserve"> </w:t>
      </w:r>
      <w:r>
        <w:t>identification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jurisdictional</w:t>
      </w:r>
      <w:r>
        <w:rPr>
          <w:spacing w:val="-11"/>
        </w:rPr>
        <w:t xml:space="preserve"> </w:t>
      </w:r>
      <w:r>
        <w:t>issues</w:t>
      </w:r>
      <w:r>
        <w:rPr>
          <w:spacing w:val="-1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require</w:t>
      </w:r>
      <w:r>
        <w:rPr>
          <w:spacing w:val="-10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claims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lodged</w:t>
      </w:r>
      <w:r>
        <w:rPr>
          <w:spacing w:val="-10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joinder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matters.</w:t>
      </w:r>
    </w:p>
    <w:p w14:paraId="629B3975" w14:textId="77777777" w:rsidR="00292C61" w:rsidRDefault="00FC2382">
      <w:pPr>
        <w:pStyle w:val="Heading1"/>
        <w:spacing w:before="81"/>
      </w:pP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Questionnaire</w:t>
      </w:r>
    </w:p>
    <w:p w14:paraId="77F82547" w14:textId="77777777" w:rsidR="00292C61" w:rsidRDefault="00FC2382">
      <w:pPr>
        <w:pStyle w:val="BodyText"/>
        <w:spacing w:before="182" w:line="259" w:lineRule="auto"/>
        <w:ind w:right="370"/>
      </w:pPr>
      <w:r>
        <w:t>The questionnaire prompts practitioners to consider what legal and factual issues need to be</w:t>
      </w:r>
      <w:r>
        <w:rPr>
          <w:spacing w:val="-59"/>
        </w:rPr>
        <w:t xml:space="preserve"> </w:t>
      </w:r>
      <w:r>
        <w:t>resolved to complete the Tribunal’s review. The questionnaire requires parties to confirm</w:t>
      </w:r>
      <w:r>
        <w:rPr>
          <w:spacing w:val="1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 w14:paraId="05BB0497" w14:textId="77777777" w:rsidR="00292C61" w:rsidRDefault="00FC2382">
      <w:pPr>
        <w:pStyle w:val="ListParagraph"/>
        <w:numPr>
          <w:ilvl w:val="0"/>
          <w:numId w:val="1"/>
        </w:numPr>
        <w:tabs>
          <w:tab w:val="left" w:pos="1121"/>
        </w:tabs>
        <w:spacing w:before="159"/>
        <w:ind w:hanging="361"/>
        <w:jc w:val="both"/>
      </w:pP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compensation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gramStart"/>
      <w:r>
        <w:t>dispute;</w:t>
      </w:r>
      <w:proofErr w:type="gramEnd"/>
    </w:p>
    <w:p w14:paraId="72ABC8A1" w14:textId="77777777" w:rsidR="00292C61" w:rsidRDefault="00FC2382">
      <w:pPr>
        <w:pStyle w:val="ListParagraph"/>
        <w:numPr>
          <w:ilvl w:val="0"/>
          <w:numId w:val="1"/>
        </w:numPr>
        <w:tabs>
          <w:tab w:val="left" w:pos="1121"/>
        </w:tabs>
        <w:spacing w:before="19" w:line="259" w:lineRule="auto"/>
        <w:ind w:right="378"/>
        <w:jc w:val="both"/>
      </w:pPr>
      <w:r>
        <w:t>if th</w:t>
      </w:r>
      <w:r>
        <w:t>ere is a denial of liability for a condition, particulars of the circumstances in which</w:t>
      </w:r>
      <w:r>
        <w:rPr>
          <w:spacing w:val="1"/>
        </w:rPr>
        <w:t xml:space="preserve"> </w:t>
      </w:r>
      <w:r>
        <w:t>the claimed condition arose with precise identification of the basis on which the claim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proofErr w:type="gramStart"/>
      <w:r>
        <w:t>put;</w:t>
      </w:r>
      <w:proofErr w:type="gramEnd"/>
    </w:p>
    <w:p w14:paraId="433CB609" w14:textId="77777777" w:rsidR="00292C61" w:rsidRDefault="00FC2382">
      <w:pPr>
        <w:pStyle w:val="ListParagraph"/>
        <w:numPr>
          <w:ilvl w:val="0"/>
          <w:numId w:val="1"/>
        </w:numPr>
        <w:tabs>
          <w:tab w:val="left" w:pos="1121"/>
        </w:tabs>
        <w:spacing w:before="0" w:line="267" w:lineRule="exact"/>
        <w:ind w:hanging="361"/>
        <w:jc w:val="both"/>
      </w:pPr>
      <w:r>
        <w:t>if</w:t>
      </w:r>
      <w:r>
        <w:rPr>
          <w:spacing w:val="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 any</w:t>
      </w:r>
      <w:r>
        <w:rPr>
          <w:spacing w:val="-3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claims</w:t>
      </w:r>
      <w:r>
        <w:rPr>
          <w:spacing w:val="3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claims);</w:t>
      </w:r>
      <w:r>
        <w:rPr>
          <w:spacing w:val="-1"/>
        </w:rPr>
        <w:t xml:space="preserve"> </w:t>
      </w:r>
      <w:r>
        <w:t>and</w:t>
      </w:r>
    </w:p>
    <w:p w14:paraId="0B204054" w14:textId="77777777" w:rsidR="00292C61" w:rsidRDefault="00FC2382">
      <w:pPr>
        <w:pStyle w:val="ListParagraph"/>
        <w:numPr>
          <w:ilvl w:val="0"/>
          <w:numId w:val="1"/>
        </w:numPr>
        <w:tabs>
          <w:tab w:val="left" w:pos="1121"/>
        </w:tabs>
        <w:spacing w:before="18"/>
        <w:ind w:hanging="361"/>
        <w:jc w:val="both"/>
      </w:pPr>
      <w:r>
        <w:t>whether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exclusionary provisions</w:t>
      </w:r>
      <w:r>
        <w:rPr>
          <w:spacing w:val="-4"/>
        </w:rPr>
        <w:t xml:space="preserve"> </w:t>
      </w:r>
      <w:r>
        <w:t>apply.</w:t>
      </w:r>
    </w:p>
    <w:p w14:paraId="6F508DCF" w14:textId="77777777" w:rsidR="00292C61" w:rsidRDefault="00FC2382">
      <w:pPr>
        <w:pStyle w:val="Heading1"/>
        <w:spacing w:before="175"/>
      </w:pPr>
      <w:r>
        <w:t>Status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Questionnaire</w:t>
      </w:r>
    </w:p>
    <w:p w14:paraId="005D405B" w14:textId="77777777" w:rsidR="00292C61" w:rsidRDefault="00FC2382">
      <w:pPr>
        <w:pStyle w:val="BodyText"/>
        <w:spacing w:before="182"/>
        <w:jc w:val="left"/>
      </w:pPr>
      <w:r>
        <w:t>Once</w:t>
      </w:r>
      <w:r>
        <w:rPr>
          <w:spacing w:val="-2"/>
        </w:rPr>
        <w:t xml:space="preserve"> </w:t>
      </w:r>
      <w:r>
        <w:t>lodged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Tribunal, the</w:t>
      </w:r>
      <w:r>
        <w:rPr>
          <w:spacing w:val="-3"/>
        </w:rPr>
        <w:t xml:space="preserve"> </w:t>
      </w:r>
      <w:r>
        <w:t>questionnaire</w:t>
      </w:r>
      <w:r>
        <w:rPr>
          <w:spacing w:val="-4"/>
        </w:rPr>
        <w:t xml:space="preserve"> </w:t>
      </w:r>
      <w:r>
        <w:t xml:space="preserve">will </w:t>
      </w:r>
      <w:r>
        <w:rPr>
          <w:u w:val="single"/>
        </w:rPr>
        <w:t>not</w:t>
      </w:r>
      <w:r>
        <w:t xml:space="preserve"> be</w:t>
      </w:r>
      <w:r>
        <w:rPr>
          <w:spacing w:val="-2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prejudice.</w:t>
      </w:r>
    </w:p>
    <w:p w14:paraId="147A83CE" w14:textId="77777777" w:rsidR="00292C61" w:rsidRDefault="00FC2382">
      <w:pPr>
        <w:pStyle w:val="BodyText"/>
        <w:spacing w:before="182" w:line="259" w:lineRule="auto"/>
        <w:ind w:right="370"/>
      </w:pPr>
      <w:r>
        <w:t>In circumstances where the questionnaire may contain information that requires levels of</w:t>
      </w:r>
      <w:r>
        <w:rPr>
          <w:spacing w:val="1"/>
        </w:rPr>
        <w:t xml:space="preserve"> </w:t>
      </w:r>
      <w:r>
        <w:t>confidentiality, the parties should approach the Tribunal in the ordinary course to request an</w:t>
      </w:r>
      <w:r>
        <w:rPr>
          <w:spacing w:val="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35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Administrative</w:t>
      </w:r>
      <w:r>
        <w:rPr>
          <w:i/>
          <w:spacing w:val="-2"/>
        </w:rPr>
        <w:t xml:space="preserve"> </w:t>
      </w:r>
      <w:r>
        <w:rPr>
          <w:i/>
        </w:rPr>
        <w:t>Appeals</w:t>
      </w:r>
      <w:r>
        <w:rPr>
          <w:i/>
          <w:spacing w:val="1"/>
        </w:rPr>
        <w:t xml:space="preserve"> </w:t>
      </w:r>
      <w:r>
        <w:rPr>
          <w:i/>
        </w:rPr>
        <w:t>Tribunal Act</w:t>
      </w:r>
      <w:r>
        <w:rPr>
          <w:i/>
          <w:spacing w:val="1"/>
        </w:rPr>
        <w:t xml:space="preserve"> </w:t>
      </w:r>
      <w:r>
        <w:rPr>
          <w:i/>
        </w:rPr>
        <w:t>1975</w:t>
      </w:r>
      <w:r>
        <w:t>.</w:t>
      </w:r>
    </w:p>
    <w:p w14:paraId="3B1F37C6" w14:textId="77777777" w:rsidR="00292C61" w:rsidRDefault="00FC2382">
      <w:pPr>
        <w:pStyle w:val="Heading1"/>
      </w:pPr>
      <w:r>
        <w:t>What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change?</w:t>
      </w:r>
    </w:p>
    <w:p w14:paraId="37AB8925" w14:textId="77777777" w:rsidR="00292C61" w:rsidRDefault="00FC2382">
      <w:pPr>
        <w:pStyle w:val="BodyText"/>
        <w:spacing w:before="181" w:line="259" w:lineRule="auto"/>
        <w:ind w:right="373"/>
      </w:pPr>
      <w:r>
        <w:t>The Tribunal acknowledges that the nature of claims can change as additional information is</w:t>
      </w:r>
      <w:r>
        <w:rPr>
          <w:spacing w:val="1"/>
        </w:rPr>
        <w:t xml:space="preserve"> </w:t>
      </w:r>
      <w:r>
        <w:rPr>
          <w:spacing w:val="-1"/>
        </w:rPr>
        <w:t>obtained.</w:t>
      </w:r>
      <w:r>
        <w:rPr>
          <w:spacing w:val="-15"/>
        </w:rPr>
        <w:t xml:space="preserve"> </w:t>
      </w:r>
      <w:r>
        <w:rPr>
          <w:spacing w:val="-1"/>
        </w:rPr>
        <w:t>When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evidence</w:t>
      </w:r>
      <w:r>
        <w:rPr>
          <w:spacing w:val="-14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finalised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matter,</w:t>
      </w:r>
      <w:r>
        <w:rPr>
          <w:spacing w:val="-14"/>
        </w:rPr>
        <w:t xml:space="preserve"> </w:t>
      </w:r>
      <w:r>
        <w:t>parties</w:t>
      </w:r>
      <w:r>
        <w:rPr>
          <w:spacing w:val="-14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free</w:t>
      </w:r>
      <w:r>
        <w:rPr>
          <w:spacing w:val="-1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add</w:t>
      </w:r>
      <w:r>
        <w:rPr>
          <w:spacing w:val="-17"/>
        </w:rPr>
        <w:t xml:space="preserve"> </w:t>
      </w:r>
      <w:r>
        <w:t>additional</w:t>
      </w:r>
      <w:r>
        <w:rPr>
          <w:spacing w:val="-59"/>
        </w:rPr>
        <w:t xml:space="preserve"> </w:t>
      </w:r>
      <w:r>
        <w:t>issues in their statement of facts, issues and contentions and modify the way in which they</w:t>
      </w:r>
      <w:r>
        <w:rPr>
          <w:spacing w:val="1"/>
        </w:rPr>
        <w:t xml:space="preserve"> </w:t>
      </w:r>
      <w:r>
        <w:t>put their case. Parties should however keep in mind that doing so may have consequences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Tribunal’s jurisdiction and</w:t>
      </w:r>
      <w:r>
        <w:rPr>
          <w:spacing w:val="-1"/>
        </w:rPr>
        <w:t xml:space="preserve"> </w:t>
      </w:r>
      <w:r>
        <w:t>there are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implications.</w:t>
      </w:r>
    </w:p>
    <w:p w14:paraId="4AB910CE" w14:textId="77777777" w:rsidR="00292C61" w:rsidRDefault="00FC2382">
      <w:pPr>
        <w:pStyle w:val="Heading1"/>
        <w:spacing w:before="158"/>
      </w:pPr>
      <w:r>
        <w:t>I</w:t>
      </w:r>
      <w:r>
        <w:t>s</w:t>
      </w:r>
      <w:r>
        <w:rPr>
          <w:spacing w:val="-3"/>
        </w:rPr>
        <w:t xml:space="preserve"> </w:t>
      </w:r>
      <w:r>
        <w:t>there still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requirement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Issues?</w:t>
      </w:r>
    </w:p>
    <w:p w14:paraId="38C689CD" w14:textId="77777777" w:rsidR="00292C61" w:rsidRDefault="00FC2382">
      <w:pPr>
        <w:pStyle w:val="BodyText"/>
        <w:spacing w:before="182" w:line="259" w:lineRule="auto"/>
        <w:ind w:right="374"/>
      </w:pPr>
      <w:r>
        <w:t>The</w:t>
      </w:r>
      <w:r>
        <w:rPr>
          <w:spacing w:val="-8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Direction</w:t>
      </w:r>
      <w:r>
        <w:rPr>
          <w:spacing w:val="-8"/>
        </w:rPr>
        <w:t xml:space="preserve"> </w:t>
      </w:r>
      <w:r>
        <w:t>provides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parties,</w:t>
      </w:r>
      <w:r>
        <w:rPr>
          <w:spacing w:val="-9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self-represented,</w:t>
      </w:r>
      <w:r>
        <w:rPr>
          <w:spacing w:val="-7"/>
        </w:rPr>
        <w:t xml:space="preserve"> </w:t>
      </w:r>
      <w:r>
        <w:t>must</w:t>
      </w:r>
      <w:r>
        <w:rPr>
          <w:spacing w:val="-59"/>
        </w:rPr>
        <w:t xml:space="preserve"> </w:t>
      </w:r>
      <w:r>
        <w:t>lodge with the Tribunal and give to each other a Statement of Issues prior to the first</w:t>
      </w:r>
      <w:r>
        <w:rPr>
          <w:spacing w:val="1"/>
        </w:rPr>
        <w:t xml:space="preserve"> </w:t>
      </w:r>
      <w:r>
        <w:t>conference.</w:t>
      </w:r>
    </w:p>
    <w:p w14:paraId="33A14495" w14:textId="77777777" w:rsidR="00292C61" w:rsidRDefault="00FC2382">
      <w:pPr>
        <w:pStyle w:val="BodyText"/>
        <w:spacing w:before="157"/>
        <w:jc w:val="left"/>
      </w:pP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pilot,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replace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requirement.</w:t>
      </w:r>
    </w:p>
    <w:p w14:paraId="4CD0CA11" w14:textId="77777777" w:rsidR="00292C61" w:rsidRDefault="00FC2382">
      <w:pPr>
        <w:pStyle w:val="Heading1"/>
        <w:spacing w:before="181"/>
      </w:pPr>
      <w:r>
        <w:t>Timeframe</w:t>
      </w:r>
    </w:p>
    <w:p w14:paraId="00E4C206" w14:textId="77777777" w:rsidR="00292C61" w:rsidRDefault="00FC2382">
      <w:pPr>
        <w:pStyle w:val="BodyText"/>
        <w:spacing w:before="182" w:line="259" w:lineRule="auto"/>
        <w:ind w:right="373"/>
      </w:pPr>
      <w:r>
        <w:t xml:space="preserve">The completion of the questionnaire will become a standard </w:t>
      </w:r>
      <w:r>
        <w:t>of practice in the Tribunal’s</w:t>
      </w:r>
      <w:r>
        <w:rPr>
          <w:spacing w:val="1"/>
        </w:rPr>
        <w:t xml:space="preserve"> </w:t>
      </w:r>
      <w:r>
        <w:t>Canberra</w:t>
      </w:r>
      <w:r>
        <w:rPr>
          <w:spacing w:val="-6"/>
        </w:rPr>
        <w:t xml:space="preserve"> </w:t>
      </w:r>
      <w:r>
        <w:t>Registry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t>filed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February</w:t>
      </w:r>
      <w:r>
        <w:rPr>
          <w:spacing w:val="-6"/>
        </w:rPr>
        <w:t xml:space="preserve"> </w:t>
      </w:r>
      <w:r>
        <w:t>2022.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proposed</w:t>
      </w:r>
      <w:r>
        <w:rPr>
          <w:spacing w:val="-59"/>
        </w:rPr>
        <w:t xml:space="preserve"> </w:t>
      </w:r>
      <w:r>
        <w:t>that an evaluation of the effect of the changes will commence from April 2022. Information</w:t>
      </w:r>
      <w:r>
        <w:rPr>
          <w:spacing w:val="1"/>
        </w:rPr>
        <w:t xml:space="preserve"> </w:t>
      </w:r>
      <w:r>
        <w:t>gathered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feed</w:t>
      </w:r>
      <w:r>
        <w:rPr>
          <w:spacing w:val="-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further draft of a</w:t>
      </w:r>
      <w:r>
        <w:rPr>
          <w:spacing w:val="-1"/>
        </w:rPr>
        <w:t xml:space="preserve"> </w:t>
      </w:r>
      <w:r>
        <w:t>workers’</w:t>
      </w:r>
      <w:r>
        <w:rPr>
          <w:spacing w:val="-4"/>
        </w:rPr>
        <w:t xml:space="preserve"> </w:t>
      </w:r>
      <w:r>
        <w:t>compensation</w:t>
      </w:r>
      <w:r>
        <w:rPr>
          <w:spacing w:val="-1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Direction.</w:t>
      </w:r>
    </w:p>
    <w:p w14:paraId="62F41D78" w14:textId="77777777" w:rsidR="00292C61" w:rsidRDefault="00FC2382">
      <w:pPr>
        <w:pStyle w:val="Heading1"/>
      </w:pPr>
      <w:r>
        <w:t>Feedback</w:t>
      </w:r>
    </w:p>
    <w:p w14:paraId="4A1B74C3" w14:textId="77777777" w:rsidR="00292C61" w:rsidRDefault="00FC2382">
      <w:pPr>
        <w:pStyle w:val="BodyText"/>
        <w:spacing w:before="182" w:line="256" w:lineRule="auto"/>
        <w:ind w:right="381"/>
      </w:pP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trial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emailing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Canberra.Registry@aat.gov.au</w:t>
        </w:r>
      </w:hyperlink>
    </w:p>
    <w:sectPr w:rsidR="00292C61">
      <w:pgSz w:w="11910" w:h="16840"/>
      <w:pgMar w:top="134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5611D"/>
    <w:multiLevelType w:val="hybridMultilevel"/>
    <w:tmpl w:val="CB44A00C"/>
    <w:lvl w:ilvl="0" w:tplc="9CEE0616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E3FCF414">
      <w:numFmt w:val="bullet"/>
      <w:lvlText w:val="•"/>
      <w:lvlJc w:val="left"/>
      <w:pPr>
        <w:ind w:left="1988" w:hanging="360"/>
      </w:pPr>
      <w:rPr>
        <w:rFonts w:hint="default"/>
        <w:lang w:val="en-AU" w:eastAsia="en-US" w:bidi="ar-SA"/>
      </w:rPr>
    </w:lvl>
    <w:lvl w:ilvl="2" w:tplc="66EE394E">
      <w:numFmt w:val="bullet"/>
      <w:lvlText w:val="•"/>
      <w:lvlJc w:val="left"/>
      <w:pPr>
        <w:ind w:left="2857" w:hanging="360"/>
      </w:pPr>
      <w:rPr>
        <w:rFonts w:hint="default"/>
        <w:lang w:val="en-AU" w:eastAsia="en-US" w:bidi="ar-SA"/>
      </w:rPr>
    </w:lvl>
    <w:lvl w:ilvl="3" w:tplc="B9DCC926">
      <w:numFmt w:val="bullet"/>
      <w:lvlText w:val="•"/>
      <w:lvlJc w:val="left"/>
      <w:pPr>
        <w:ind w:left="3725" w:hanging="360"/>
      </w:pPr>
      <w:rPr>
        <w:rFonts w:hint="default"/>
        <w:lang w:val="en-AU" w:eastAsia="en-US" w:bidi="ar-SA"/>
      </w:rPr>
    </w:lvl>
    <w:lvl w:ilvl="4" w:tplc="3314E85C">
      <w:numFmt w:val="bullet"/>
      <w:lvlText w:val="•"/>
      <w:lvlJc w:val="left"/>
      <w:pPr>
        <w:ind w:left="4594" w:hanging="360"/>
      </w:pPr>
      <w:rPr>
        <w:rFonts w:hint="default"/>
        <w:lang w:val="en-AU" w:eastAsia="en-US" w:bidi="ar-SA"/>
      </w:rPr>
    </w:lvl>
    <w:lvl w:ilvl="5" w:tplc="9C8AE634">
      <w:numFmt w:val="bullet"/>
      <w:lvlText w:val="•"/>
      <w:lvlJc w:val="left"/>
      <w:pPr>
        <w:ind w:left="5463" w:hanging="360"/>
      </w:pPr>
      <w:rPr>
        <w:rFonts w:hint="default"/>
        <w:lang w:val="en-AU" w:eastAsia="en-US" w:bidi="ar-SA"/>
      </w:rPr>
    </w:lvl>
    <w:lvl w:ilvl="6" w:tplc="03DE9BD0">
      <w:numFmt w:val="bullet"/>
      <w:lvlText w:val="•"/>
      <w:lvlJc w:val="left"/>
      <w:pPr>
        <w:ind w:left="6331" w:hanging="360"/>
      </w:pPr>
      <w:rPr>
        <w:rFonts w:hint="default"/>
        <w:lang w:val="en-AU" w:eastAsia="en-US" w:bidi="ar-SA"/>
      </w:rPr>
    </w:lvl>
    <w:lvl w:ilvl="7" w:tplc="06C03116">
      <w:numFmt w:val="bullet"/>
      <w:lvlText w:val="•"/>
      <w:lvlJc w:val="left"/>
      <w:pPr>
        <w:ind w:left="7200" w:hanging="360"/>
      </w:pPr>
      <w:rPr>
        <w:rFonts w:hint="default"/>
        <w:lang w:val="en-AU" w:eastAsia="en-US" w:bidi="ar-SA"/>
      </w:rPr>
    </w:lvl>
    <w:lvl w:ilvl="8" w:tplc="95DECB9E">
      <w:numFmt w:val="bullet"/>
      <w:lvlText w:val="•"/>
      <w:lvlJc w:val="left"/>
      <w:pPr>
        <w:ind w:left="8069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72C36F80"/>
    <w:multiLevelType w:val="hybridMultilevel"/>
    <w:tmpl w:val="B0E24228"/>
    <w:lvl w:ilvl="0" w:tplc="B7245268"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2C61"/>
    <w:rsid w:val="00292C61"/>
    <w:rsid w:val="0072662E"/>
    <w:rsid w:val="00AE60AD"/>
    <w:rsid w:val="00F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B34E"/>
  <w15:docId w15:val="{B99A70B5-E560-48FF-8E77-CAE31E58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157"/>
      <w:ind w:left="400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/>
      <w:jc w:val="both"/>
    </w:pPr>
  </w:style>
  <w:style w:type="paragraph" w:styleId="Title">
    <w:name w:val="Title"/>
    <w:basedOn w:val="Normal"/>
    <w:uiPriority w:val="10"/>
    <w:qFormat/>
    <w:pPr>
      <w:spacing w:before="34"/>
      <w:ind w:left="1339" w:right="132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93"/>
      <w:ind w:left="11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berra.Registry@aat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 Compensation pilot program of procedural changes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 Compensation pilot program of procedural changes</dc:title>
  <dc:creator>Matthew Smith</dc:creator>
  <cp:lastModifiedBy>Damien O’Donovan</cp:lastModifiedBy>
  <cp:revision>2</cp:revision>
  <dcterms:created xsi:type="dcterms:W3CDTF">2022-01-28T03:39:00Z</dcterms:created>
  <dcterms:modified xsi:type="dcterms:W3CDTF">2022-01-28T03:39:00Z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2022-01-28T00:00:00Z</vt:filetime>
  </property>
</Properties>
</file>